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1E841" w14:textId="336282F8" w:rsidR="004B64AD" w:rsidRPr="004B64AD" w:rsidRDefault="00F403E2" w:rsidP="00A603D3">
      <w:pPr>
        <w:spacing w:after="120"/>
        <w:rPr>
          <w:b/>
          <w:bCs/>
          <w:sz w:val="28"/>
          <w:szCs w:val="28"/>
        </w:rPr>
      </w:pPr>
      <w:r>
        <w:rPr>
          <w:b/>
          <w:bCs/>
          <w:sz w:val="28"/>
          <w:szCs w:val="28"/>
        </w:rPr>
        <w:t xml:space="preserve">                   </w:t>
      </w:r>
      <w:r w:rsidR="004B64AD" w:rsidRPr="004B64AD">
        <w:rPr>
          <w:b/>
          <w:bCs/>
          <w:sz w:val="28"/>
          <w:szCs w:val="28"/>
        </w:rPr>
        <w:t>Technická specifikace – domovní ČOV</w:t>
      </w:r>
    </w:p>
    <w:p w14:paraId="5749A279" w14:textId="46DA036B" w:rsidR="004B64AD" w:rsidRPr="004B64AD" w:rsidRDefault="004B64AD" w:rsidP="00A603D3">
      <w:pPr>
        <w:numPr>
          <w:ilvl w:val="0"/>
          <w:numId w:val="1"/>
        </w:numPr>
        <w:spacing w:after="120"/>
      </w:pPr>
      <w:r w:rsidRPr="004B64AD">
        <w:t>Norma: Certifikováno dle </w:t>
      </w:r>
      <w:r w:rsidRPr="004B64AD">
        <w:rPr>
          <w:b/>
          <w:bCs/>
        </w:rPr>
        <w:t>ČSN EN 12566-3</w:t>
      </w:r>
      <w:r w:rsidRPr="004B64AD">
        <w:t> (malé čistírny do 50 EO)</w:t>
      </w:r>
    </w:p>
    <w:p w14:paraId="5F6FF386" w14:textId="77777777" w:rsidR="004B64AD" w:rsidRPr="004B64AD" w:rsidRDefault="004B64AD" w:rsidP="00A603D3">
      <w:pPr>
        <w:numPr>
          <w:ilvl w:val="0"/>
          <w:numId w:val="1"/>
        </w:numPr>
        <w:spacing w:after="120"/>
      </w:pPr>
      <w:r w:rsidRPr="004B64AD">
        <w:t>Účel: biologické čištění splaškových odpadních vod z rodinných domů, rekreačních objektů a menších provozoven</w:t>
      </w:r>
    </w:p>
    <w:p w14:paraId="64DE3D02" w14:textId="77777777" w:rsidR="004B64AD" w:rsidRPr="004B64AD" w:rsidRDefault="004B64AD" w:rsidP="00A603D3">
      <w:pPr>
        <w:numPr>
          <w:ilvl w:val="0"/>
          <w:numId w:val="1"/>
        </w:numPr>
        <w:spacing w:after="120"/>
      </w:pPr>
      <w:r w:rsidRPr="004B64AD">
        <w:t>Konstrukce: samonosná plastová nádrž (PP/PE) s vnitřními technologickými komorami</w:t>
      </w:r>
    </w:p>
    <w:p w14:paraId="3CD7740E" w14:textId="77777777" w:rsidR="004B64AD" w:rsidRPr="004B64AD" w:rsidRDefault="00000000" w:rsidP="00A603D3">
      <w:pPr>
        <w:spacing w:after="120"/>
      </w:pPr>
      <w:r>
        <w:pict w14:anchorId="50A4972E">
          <v:rect id="_x0000_i1025" style="width:470.3pt;height:1.5pt" o:hralign="center" o:hrstd="t" o:hr="t" fillcolor="#a0a0a0" stroked="f"/>
        </w:pict>
      </w:r>
    </w:p>
    <w:p w14:paraId="308C205E" w14:textId="77777777" w:rsidR="004B64AD" w:rsidRPr="004B64AD" w:rsidRDefault="004B64AD" w:rsidP="00A603D3">
      <w:pPr>
        <w:spacing w:after="120"/>
        <w:rPr>
          <w:b/>
          <w:bCs/>
        </w:rPr>
      </w:pPr>
      <w:r w:rsidRPr="004B64AD">
        <w:rPr>
          <w:b/>
          <w:bCs/>
        </w:rPr>
        <w:t>2. Dimenze a kapacita</w:t>
      </w:r>
    </w:p>
    <w:p w14:paraId="3D601B47" w14:textId="77777777" w:rsidR="00844B99" w:rsidRPr="00844B99" w:rsidRDefault="00844B99" w:rsidP="006F5090">
      <w:pPr>
        <w:pStyle w:val="Odstavecseseznamem"/>
        <w:numPr>
          <w:ilvl w:val="0"/>
          <w:numId w:val="2"/>
        </w:numPr>
        <w:jc w:val="both"/>
      </w:pPr>
      <w:r w:rsidRPr="006F5090">
        <w:rPr>
          <w:b/>
          <w:bCs/>
        </w:rPr>
        <w:t>Předmětem dodávky</w:t>
      </w:r>
      <w:r w:rsidRPr="00844B99">
        <w:t xml:space="preserve"> je celkem 22 ks DČOV, z toho 3 ks DČOV s kapacitou 2–4 EO a 19 ks DČOV s kapacitou 4–8 EO.</w:t>
      </w:r>
    </w:p>
    <w:p w14:paraId="62453CDB" w14:textId="5DB68DC1" w:rsidR="0075663D" w:rsidRPr="0075663D" w:rsidRDefault="004B64AD" w:rsidP="006F5090">
      <w:pPr>
        <w:numPr>
          <w:ilvl w:val="0"/>
          <w:numId w:val="2"/>
        </w:numPr>
        <w:spacing w:after="120"/>
        <w:jc w:val="both"/>
      </w:pPr>
      <w:r w:rsidRPr="0075663D">
        <w:rPr>
          <w:b/>
          <w:bCs/>
        </w:rPr>
        <w:t>Kapacita</w:t>
      </w:r>
      <w:r w:rsidRPr="00A603D3">
        <w:t xml:space="preserve">: </w:t>
      </w:r>
      <w:r w:rsidR="006F5090" w:rsidRPr="006F5090">
        <w:t>dle příslušného typu DČOV a konkrétního místa plnění, maximálně do 8 ekvivalentních obyvatel (EO).</w:t>
      </w:r>
    </w:p>
    <w:p w14:paraId="5BB94FC7" w14:textId="7137B620" w:rsidR="004B64AD" w:rsidRDefault="00FF764F" w:rsidP="006F5090">
      <w:pPr>
        <w:numPr>
          <w:ilvl w:val="0"/>
          <w:numId w:val="2"/>
        </w:numPr>
        <w:spacing w:after="120"/>
        <w:jc w:val="both"/>
      </w:pPr>
      <w:r w:rsidRPr="0075663D">
        <w:rPr>
          <w:b/>
          <w:bCs/>
        </w:rPr>
        <w:t>Maximální</w:t>
      </w:r>
      <w:r w:rsidR="004B64AD" w:rsidRPr="0075663D">
        <w:rPr>
          <w:b/>
          <w:bCs/>
        </w:rPr>
        <w:t xml:space="preserve"> průtok</w:t>
      </w:r>
      <w:r w:rsidR="004B64AD" w:rsidRPr="00A603D3">
        <w:t xml:space="preserve">: </w:t>
      </w:r>
      <w:r w:rsidR="00C16405" w:rsidRPr="00A603D3">
        <w:t>dle povolení k nakládání s</w:t>
      </w:r>
      <w:r w:rsidR="0075663D">
        <w:t> </w:t>
      </w:r>
      <w:r w:rsidR="00C16405" w:rsidRPr="00A603D3">
        <w:t>vodami</w:t>
      </w:r>
    </w:p>
    <w:p w14:paraId="3C8F3EF7" w14:textId="20E1AB91" w:rsidR="0075663D" w:rsidRDefault="0075663D" w:rsidP="006F5090">
      <w:pPr>
        <w:numPr>
          <w:ilvl w:val="0"/>
          <w:numId w:val="2"/>
        </w:numPr>
        <w:spacing w:after="120"/>
        <w:jc w:val="both"/>
      </w:pPr>
      <w:r>
        <w:rPr>
          <w:b/>
          <w:bCs/>
        </w:rPr>
        <w:t xml:space="preserve">Účinnost čištění </w:t>
      </w:r>
      <w:r w:rsidRPr="0075663D">
        <w:t xml:space="preserve">– </w:t>
      </w:r>
      <w:r w:rsidRPr="0075663D">
        <w:rPr>
          <w:b/>
          <w:bCs/>
        </w:rPr>
        <w:t>dle Nařízení vlády č. 401/2015 Sb.,</w:t>
      </w:r>
      <w:r w:rsidRPr="0075663D">
        <w:t xml:space="preserve"> o ukazatelích a hodnotách přípustného znečištění povrchových vod a odpadních vod, náležitostech povolení k vypouštění odpadních vod do vod povrchových a do kanalizací a o citlivých oblastech</w:t>
      </w:r>
      <w:r>
        <w:t>.</w:t>
      </w:r>
    </w:p>
    <w:p w14:paraId="2C153F1B" w14:textId="23ED84EA" w:rsidR="00C6288D" w:rsidRPr="00C6288D" w:rsidRDefault="00C6288D" w:rsidP="00F35E06">
      <w:pPr>
        <w:pStyle w:val="Odstavecseseznamem"/>
        <w:numPr>
          <w:ilvl w:val="0"/>
          <w:numId w:val="2"/>
        </w:numPr>
        <w:jc w:val="both"/>
      </w:pPr>
      <w:r w:rsidRPr="00C6288D">
        <w:t>Pokud je dosažení dodavatelem deklarovaných hodnot čištění podmíněno použitím přídavného zařízení, dávkovací technologie, chemického činidla nebo jiného technického prvku, musí být toto zařízení či technický prvek součástí plnění a musí být zahrnut v</w:t>
      </w:r>
      <w:r w:rsidR="00F35E06">
        <w:t xml:space="preserve">e sjednané </w:t>
      </w:r>
      <w:r w:rsidRPr="00C6288D">
        <w:t>ceně.</w:t>
      </w:r>
      <w:r w:rsidR="00F35E06">
        <w:t xml:space="preserve"> Případný p</w:t>
      </w:r>
      <w:r w:rsidRPr="00C6288D">
        <w:t>rovozní spotřební materiál</w:t>
      </w:r>
      <w:r w:rsidR="00F35E06">
        <w:t xml:space="preserve"> </w:t>
      </w:r>
      <w:r w:rsidRPr="00C6288D">
        <w:t xml:space="preserve">není součástí plnění </w:t>
      </w:r>
      <w:r w:rsidR="000F7E9E">
        <w:t>dodavatele</w:t>
      </w:r>
      <w:r w:rsidR="00812A12">
        <w:t xml:space="preserve">. </w:t>
      </w:r>
      <w:r w:rsidR="000F7E9E">
        <w:t>Dodavatel</w:t>
      </w:r>
      <w:r w:rsidR="00812A12">
        <w:t xml:space="preserve"> </w:t>
      </w:r>
      <w:r w:rsidRPr="00C6288D">
        <w:t>však musí jasně uvést, zda a v jakém rozsahu je dosažení deklarovaných hodnot podmíněno jeho pravidelným doplňováním nebo jiným provozním úkonem.</w:t>
      </w:r>
    </w:p>
    <w:p w14:paraId="529B4200" w14:textId="77777777" w:rsidR="004B64AD" w:rsidRPr="004B64AD" w:rsidRDefault="00000000" w:rsidP="00A603D3">
      <w:pPr>
        <w:spacing w:after="120"/>
      </w:pPr>
      <w:r>
        <w:pict w14:anchorId="5548ABFB">
          <v:rect id="_x0000_i1026" style="width:470.3pt;height:1.5pt" o:hralign="center" o:hrstd="t" o:hr="t" fillcolor="#a0a0a0" stroked="f"/>
        </w:pict>
      </w:r>
    </w:p>
    <w:p w14:paraId="293FE260" w14:textId="3A78F49E" w:rsidR="004B64AD" w:rsidRPr="004B64AD" w:rsidRDefault="004B64AD" w:rsidP="00A603D3">
      <w:pPr>
        <w:spacing w:after="120"/>
        <w:rPr>
          <w:b/>
          <w:bCs/>
        </w:rPr>
      </w:pPr>
      <w:r w:rsidRPr="004B64AD">
        <w:rPr>
          <w:b/>
          <w:bCs/>
        </w:rPr>
        <w:t>3. Konstrukční uspořádání</w:t>
      </w:r>
      <w:r w:rsidR="00C16405">
        <w:rPr>
          <w:b/>
          <w:bCs/>
        </w:rPr>
        <w:t xml:space="preserve"> jedna z technologií:</w:t>
      </w:r>
    </w:p>
    <w:p w14:paraId="12DC57B1" w14:textId="03A11CF9" w:rsidR="004B64AD" w:rsidRPr="00A603D3" w:rsidRDefault="00AB309B" w:rsidP="00A603D3">
      <w:pPr>
        <w:numPr>
          <w:ilvl w:val="0"/>
          <w:numId w:val="3"/>
        </w:numPr>
        <w:spacing w:after="120"/>
      </w:pPr>
      <w:r>
        <w:rPr>
          <w:b/>
          <w:bCs/>
        </w:rPr>
        <w:t>T</w:t>
      </w:r>
      <w:r w:rsidR="004B64AD" w:rsidRPr="00A603D3">
        <w:rPr>
          <w:b/>
          <w:bCs/>
        </w:rPr>
        <w:t>echnologie SBR</w:t>
      </w:r>
      <w:r w:rsidR="004B64AD" w:rsidRPr="00A603D3">
        <w:t> (sekvenční biologický reaktor) – čištění probíhá v cyklech řízených dmychadlem a elektropneumatickými ventily.</w:t>
      </w:r>
    </w:p>
    <w:p w14:paraId="2A1CDA79" w14:textId="662F3BCA" w:rsidR="004B64AD" w:rsidRPr="00A603D3" w:rsidRDefault="00AB309B" w:rsidP="00A603D3">
      <w:pPr>
        <w:numPr>
          <w:ilvl w:val="0"/>
          <w:numId w:val="3"/>
        </w:numPr>
        <w:spacing w:after="120"/>
        <w:rPr>
          <w:b/>
          <w:bCs/>
        </w:rPr>
      </w:pPr>
      <w:r>
        <w:rPr>
          <w:b/>
          <w:bCs/>
        </w:rPr>
        <w:t>I</w:t>
      </w:r>
      <w:r w:rsidR="004B64AD" w:rsidRPr="00A603D3">
        <w:rPr>
          <w:b/>
          <w:bCs/>
        </w:rPr>
        <w:t xml:space="preserve">ntegrované komory: </w:t>
      </w:r>
    </w:p>
    <w:p w14:paraId="2FF61E23" w14:textId="77777777" w:rsidR="004B64AD" w:rsidRPr="00A603D3" w:rsidRDefault="004B64AD" w:rsidP="00A603D3">
      <w:pPr>
        <w:numPr>
          <w:ilvl w:val="1"/>
          <w:numId w:val="3"/>
        </w:numPr>
        <w:spacing w:after="120"/>
      </w:pPr>
      <w:r w:rsidRPr="00A603D3">
        <w:rPr>
          <w:b/>
          <w:bCs/>
        </w:rPr>
        <w:t>Usazovací / akumulační</w:t>
      </w:r>
      <w:r w:rsidRPr="00A603D3">
        <w:t> (mechanické předčištění)</w:t>
      </w:r>
    </w:p>
    <w:p w14:paraId="0FEEF7D0" w14:textId="77777777" w:rsidR="004B64AD" w:rsidRPr="00A603D3" w:rsidRDefault="004B64AD" w:rsidP="00A603D3">
      <w:pPr>
        <w:numPr>
          <w:ilvl w:val="1"/>
          <w:numId w:val="3"/>
        </w:numPr>
        <w:spacing w:after="120"/>
      </w:pPr>
      <w:r w:rsidRPr="00A603D3">
        <w:rPr>
          <w:b/>
          <w:bCs/>
        </w:rPr>
        <w:t>Reakční (aerační)</w:t>
      </w:r>
      <w:r w:rsidRPr="00A603D3">
        <w:t> komora</w:t>
      </w:r>
    </w:p>
    <w:p w14:paraId="5DA5AAE5" w14:textId="77777777" w:rsidR="004B64AD" w:rsidRPr="00A603D3" w:rsidRDefault="004B64AD" w:rsidP="00A603D3">
      <w:pPr>
        <w:numPr>
          <w:ilvl w:val="1"/>
          <w:numId w:val="3"/>
        </w:numPr>
        <w:spacing w:after="120"/>
      </w:pPr>
      <w:r w:rsidRPr="00A603D3">
        <w:rPr>
          <w:b/>
          <w:bCs/>
        </w:rPr>
        <w:t>Dosazovací</w:t>
      </w:r>
      <w:r w:rsidRPr="00A603D3">
        <w:t> prostor s odtokem čisté vody</w:t>
      </w:r>
    </w:p>
    <w:p w14:paraId="379A0635" w14:textId="4C143AC3" w:rsidR="004B64AD" w:rsidRDefault="00C16405" w:rsidP="0050541C">
      <w:pPr>
        <w:spacing w:after="120"/>
        <w:ind w:left="360"/>
      </w:pPr>
      <w:r>
        <w:t>Obě možnosti s</w:t>
      </w:r>
      <w:r w:rsidR="002F20F8">
        <w:t> </w:t>
      </w:r>
      <w:r>
        <w:t>vybavením</w:t>
      </w:r>
      <w:r w:rsidR="002F20F8">
        <w:t>:</w:t>
      </w:r>
      <w:r w:rsidR="004B64AD" w:rsidRPr="006C64E4">
        <w:t xml:space="preserve"> dmychadlo (umístěné v externím boxu</w:t>
      </w:r>
      <w:r w:rsidR="0075663D">
        <w:t xml:space="preserve"> nebo v integrovaném prostoru DČOV</w:t>
      </w:r>
      <w:r w:rsidR="004B64AD" w:rsidRPr="006C64E4">
        <w:t>), řídicí jednotka</w:t>
      </w:r>
    </w:p>
    <w:p w14:paraId="3BFC247F" w14:textId="258E97CB" w:rsidR="00AB309B" w:rsidRPr="00A603D3" w:rsidRDefault="00AB309B" w:rsidP="00AB309B">
      <w:pPr>
        <w:numPr>
          <w:ilvl w:val="0"/>
          <w:numId w:val="9"/>
        </w:numPr>
        <w:spacing w:after="120"/>
        <w:rPr>
          <w:b/>
          <w:bCs/>
        </w:rPr>
      </w:pPr>
      <w:r>
        <w:rPr>
          <w:b/>
          <w:bCs/>
        </w:rPr>
        <w:t xml:space="preserve">Dvouplášťové </w:t>
      </w:r>
      <w:r w:rsidR="0065439F">
        <w:rPr>
          <w:b/>
          <w:bCs/>
        </w:rPr>
        <w:t>provedení</w:t>
      </w:r>
      <w:r w:rsidR="0065439F" w:rsidRPr="0065439F">
        <w:t xml:space="preserve"> </w:t>
      </w:r>
      <w:r w:rsidR="0065439F">
        <w:t>– vhodné</w:t>
      </w:r>
      <w:r w:rsidR="0065439F" w:rsidRPr="0065439F">
        <w:t xml:space="preserve"> pro osazení v prostředí se zvýšenou hladinou podzemní vody.</w:t>
      </w:r>
    </w:p>
    <w:p w14:paraId="27F76296" w14:textId="56E12178" w:rsidR="0075663D" w:rsidRPr="0075663D" w:rsidRDefault="0075663D" w:rsidP="0075663D">
      <w:pPr>
        <w:pStyle w:val="Odstavecseseznamem"/>
        <w:numPr>
          <w:ilvl w:val="0"/>
          <w:numId w:val="9"/>
        </w:numPr>
        <w:spacing w:after="120"/>
        <w:rPr>
          <w:b/>
          <w:bCs/>
        </w:rPr>
      </w:pPr>
      <w:r w:rsidRPr="0075663D">
        <w:rPr>
          <w:b/>
          <w:bCs/>
        </w:rPr>
        <w:t>Akumulační nádrž</w:t>
      </w:r>
      <w:r>
        <w:rPr>
          <w:b/>
          <w:bCs/>
        </w:rPr>
        <w:t xml:space="preserve"> </w:t>
      </w:r>
      <w:r w:rsidR="00D270E5">
        <w:rPr>
          <w:b/>
          <w:bCs/>
        </w:rPr>
        <w:t>1m</w:t>
      </w:r>
      <w:r w:rsidR="00406D67">
        <w:rPr>
          <w:b/>
          <w:bCs/>
          <w:vertAlign w:val="superscript"/>
        </w:rPr>
        <w:t>3</w:t>
      </w:r>
      <w:r w:rsidR="008C668C">
        <w:rPr>
          <w:b/>
          <w:bCs/>
        </w:rPr>
        <w:t xml:space="preserve"> </w:t>
      </w:r>
      <w:r w:rsidR="008C668C" w:rsidRPr="008C668C">
        <w:t>je požadována u 6 ks DČOV, a to na odtoku vyčištěné vody z DČOV.</w:t>
      </w:r>
    </w:p>
    <w:p w14:paraId="2AECF220" w14:textId="77777777" w:rsidR="004B64AD" w:rsidRPr="004B64AD" w:rsidRDefault="00000000" w:rsidP="00A603D3">
      <w:pPr>
        <w:spacing w:after="120"/>
      </w:pPr>
      <w:r>
        <w:pict w14:anchorId="5FFAA814">
          <v:rect id="_x0000_i1027" style="width:470.3pt;height:1.5pt" o:hralign="center" o:hrstd="t" o:hr="t" fillcolor="#a0a0a0" stroked="f"/>
        </w:pict>
      </w:r>
    </w:p>
    <w:p w14:paraId="06D83153" w14:textId="077538F5" w:rsidR="004B64AD" w:rsidRPr="004B64AD" w:rsidRDefault="004B15E1" w:rsidP="00A603D3">
      <w:pPr>
        <w:spacing w:after="120"/>
        <w:rPr>
          <w:b/>
          <w:bCs/>
        </w:rPr>
      </w:pPr>
      <w:r>
        <w:rPr>
          <w:b/>
          <w:bCs/>
        </w:rPr>
        <w:t>4</w:t>
      </w:r>
      <w:r w:rsidR="004B64AD" w:rsidRPr="004B64AD">
        <w:rPr>
          <w:b/>
          <w:bCs/>
        </w:rPr>
        <w:t>. Manipulace a údržba</w:t>
      </w:r>
    </w:p>
    <w:p w14:paraId="308E9E3C" w14:textId="51B38AF4" w:rsidR="007B28F8" w:rsidRDefault="004B64AD" w:rsidP="007B28F8">
      <w:pPr>
        <w:numPr>
          <w:ilvl w:val="0"/>
          <w:numId w:val="5"/>
        </w:numPr>
        <w:spacing w:after="120"/>
        <w:jc w:val="both"/>
      </w:pPr>
      <w:r w:rsidRPr="0050541C">
        <w:rPr>
          <w:b/>
          <w:bCs/>
        </w:rPr>
        <w:t>Odběr kalu:</w:t>
      </w:r>
      <w:r w:rsidRPr="004B64AD">
        <w:t xml:space="preserve"> 1× </w:t>
      </w:r>
      <w:r w:rsidR="00AF4E23">
        <w:t xml:space="preserve">nebo i vícekrát </w:t>
      </w:r>
      <w:r w:rsidRPr="004B64AD">
        <w:t>ročně (fekální vůz, možnost odčerpání přes servisní otvor)</w:t>
      </w:r>
      <w:r w:rsidR="00167908">
        <w:t>;</w:t>
      </w:r>
      <w:r w:rsidR="00167908" w:rsidRPr="00167908">
        <w:t xml:space="preserve"> tento údaj</w:t>
      </w:r>
      <w:r w:rsidR="007B28F8">
        <w:t xml:space="preserve"> </w:t>
      </w:r>
      <w:r w:rsidR="007B28F8" w:rsidRPr="007B28F8">
        <w:t xml:space="preserve">představuje orientační provozní předpoklad a požadavek na možnost bezpečného a </w:t>
      </w:r>
      <w:r w:rsidR="007B28F8" w:rsidRPr="007B28F8">
        <w:lastRenderedPageBreak/>
        <w:t>technicky proveditelného odčerpání kalu, zejména prostřednictvím fekálního vozu přes servisní otvor</w:t>
      </w:r>
      <w:r w:rsidR="00AF4E23">
        <w:t>.</w:t>
      </w:r>
      <w:r w:rsidR="007B28F8" w:rsidRPr="007B28F8">
        <w:t xml:space="preserve"> </w:t>
      </w:r>
    </w:p>
    <w:p w14:paraId="38DFE81C" w14:textId="4AB3BE7D" w:rsidR="004B64AD" w:rsidRPr="004B64AD" w:rsidRDefault="004B64AD" w:rsidP="00A603D3">
      <w:pPr>
        <w:numPr>
          <w:ilvl w:val="0"/>
          <w:numId w:val="5"/>
        </w:numPr>
        <w:spacing w:after="120"/>
      </w:pPr>
      <w:r w:rsidRPr="0050541C">
        <w:rPr>
          <w:b/>
          <w:bCs/>
        </w:rPr>
        <w:t>Servis:</w:t>
      </w:r>
      <w:r w:rsidRPr="004B64AD">
        <w:t xml:space="preserve"> pravidelná roční kontrola, výměna filtrů/difuzorů dle potřeby</w:t>
      </w:r>
      <w:r w:rsidR="00D61205">
        <w:t xml:space="preserve">; </w:t>
      </w:r>
      <w:r w:rsidR="00D61205" w:rsidRPr="00D61205">
        <w:t>pokud se u konkrétního zařízení filtry standardně nevyměňují, ale pouze čistí, bude tento postup uveden v provozních pokynech výrobce</w:t>
      </w:r>
      <w:r w:rsidR="00D61205">
        <w:t>/dodavatele</w:t>
      </w:r>
      <w:r w:rsidR="00D61205" w:rsidRPr="00D61205">
        <w:t xml:space="preserve"> a vysvětlen při zaškolení obsluhy.</w:t>
      </w:r>
    </w:p>
    <w:p w14:paraId="00D85151" w14:textId="677369ED" w:rsidR="004B64AD" w:rsidRPr="004B64AD" w:rsidRDefault="004B64AD" w:rsidP="0050541C">
      <w:pPr>
        <w:numPr>
          <w:ilvl w:val="0"/>
          <w:numId w:val="5"/>
        </w:numPr>
        <w:spacing w:after="120"/>
        <w:jc w:val="both"/>
      </w:pPr>
      <w:r w:rsidRPr="0050541C">
        <w:rPr>
          <w:b/>
          <w:bCs/>
        </w:rPr>
        <w:t>Ovládání:</w:t>
      </w:r>
      <w:r w:rsidRPr="004B64AD">
        <w:t xml:space="preserve"> automatický režim, možnost manuálního přepnutí</w:t>
      </w:r>
      <w:r w:rsidR="0050541C" w:rsidRPr="0050541C">
        <w:t xml:space="preserve"> v rozsahu odpovídajícím technickému řešení konkrétního výrobce. DČOV musí být schopna běžného provozu ve zcela automatickém režimu bez nutnosti pravidelného zásahu uživatele a současně musí umožňovat základní manuální zásah do provozu zařízení, zejména ruční spuštění, opakování nebo prodloužení vybraného provozního nebo servisního režimu</w:t>
      </w:r>
      <w:r w:rsidR="0050541C">
        <w:t>.</w:t>
      </w:r>
    </w:p>
    <w:p w14:paraId="05B44D6C" w14:textId="77777777" w:rsidR="004B64AD" w:rsidRPr="004B64AD" w:rsidRDefault="00000000" w:rsidP="00A603D3">
      <w:pPr>
        <w:spacing w:after="120"/>
      </w:pPr>
      <w:r>
        <w:pict w14:anchorId="0F1A753D">
          <v:rect id="_x0000_i1028" style="width:470.3pt;height:1.5pt" o:hralign="center" o:hrstd="t" o:hr="t" fillcolor="#a0a0a0" stroked="f"/>
        </w:pict>
      </w:r>
    </w:p>
    <w:p w14:paraId="710AD62A" w14:textId="00CDA7BD" w:rsidR="004B64AD" w:rsidRPr="004B64AD" w:rsidRDefault="004B15E1" w:rsidP="00A603D3">
      <w:pPr>
        <w:spacing w:after="120"/>
        <w:rPr>
          <w:b/>
          <w:bCs/>
        </w:rPr>
      </w:pPr>
      <w:r>
        <w:rPr>
          <w:b/>
          <w:bCs/>
        </w:rPr>
        <w:t>5</w:t>
      </w:r>
      <w:r w:rsidR="004B64AD" w:rsidRPr="004B64AD">
        <w:rPr>
          <w:b/>
          <w:bCs/>
        </w:rPr>
        <w:t>. Výstupní voda</w:t>
      </w:r>
    </w:p>
    <w:p w14:paraId="5450F932" w14:textId="20DB28E0" w:rsidR="00A603D3" w:rsidRDefault="004B64AD" w:rsidP="00A603D3">
      <w:pPr>
        <w:numPr>
          <w:ilvl w:val="0"/>
          <w:numId w:val="6"/>
        </w:numPr>
        <w:spacing w:after="120"/>
        <w:jc w:val="both"/>
      </w:pPr>
      <w:r w:rsidRPr="004B64AD">
        <w:t xml:space="preserve">Odtok: vyčištěná voda do vodoteče, případně vsakování (dle </w:t>
      </w:r>
      <w:r w:rsidR="00943349" w:rsidRPr="00A603D3">
        <w:t>povolení k nakládání s vodami</w:t>
      </w:r>
      <w:r w:rsidRPr="004B64AD">
        <w:t>)</w:t>
      </w:r>
    </w:p>
    <w:p w14:paraId="6A69DC4F" w14:textId="3AA2638C" w:rsidR="00F403E2" w:rsidRDefault="00C16405" w:rsidP="00A603D3">
      <w:pPr>
        <w:numPr>
          <w:ilvl w:val="0"/>
          <w:numId w:val="6"/>
        </w:numPr>
        <w:spacing w:after="120"/>
        <w:jc w:val="both"/>
      </w:pPr>
      <w:r w:rsidRPr="00A603D3">
        <w:t xml:space="preserve">Dle povolení k nakládání s vodami: </w:t>
      </w:r>
      <w:r w:rsidR="004B64AD" w:rsidRPr="00A603D3">
        <w:t>Splňuje požadavky NV č. 401/2015 Sb.</w:t>
      </w:r>
      <w:r w:rsidR="00406D67">
        <w:t>,</w:t>
      </w:r>
      <w:r w:rsidR="00325DD8">
        <w:t xml:space="preserve"> do vod povrchových;</w:t>
      </w:r>
      <w:r w:rsidR="00A603D3" w:rsidRPr="00A603D3">
        <w:t xml:space="preserve"> p</w:t>
      </w:r>
      <w:r w:rsidR="00A603D3">
        <w:t>ří</w:t>
      </w:r>
      <w:r w:rsidR="00A603D3" w:rsidRPr="00A603D3">
        <w:t>padn</w:t>
      </w:r>
      <w:r w:rsidR="00A603D3">
        <w:t>ě s</w:t>
      </w:r>
      <w:r w:rsidR="00F403E2" w:rsidRPr="00A603D3">
        <w:t>plňuje</w:t>
      </w:r>
      <w:r w:rsidR="00F403E2" w:rsidRPr="004B64AD">
        <w:t xml:space="preserve"> požadavky NV č. </w:t>
      </w:r>
      <w:r w:rsidR="00F403E2">
        <w:t>57</w:t>
      </w:r>
      <w:r w:rsidR="00F403E2" w:rsidRPr="004B64AD">
        <w:t>/201</w:t>
      </w:r>
      <w:r w:rsidR="00F403E2">
        <w:t>6</w:t>
      </w:r>
      <w:r w:rsidR="00F403E2" w:rsidRPr="004B64AD">
        <w:t xml:space="preserve"> Sb.</w:t>
      </w:r>
      <w:r w:rsidR="00406D67">
        <w:t xml:space="preserve">, </w:t>
      </w:r>
      <w:r w:rsidR="00325DD8">
        <w:t>do vsaku</w:t>
      </w:r>
    </w:p>
    <w:p w14:paraId="61900D53" w14:textId="4911F888" w:rsidR="00664760" w:rsidRDefault="00664760" w:rsidP="00B33A9A">
      <w:pPr>
        <w:pStyle w:val="Odstavecseseznamem"/>
        <w:numPr>
          <w:ilvl w:val="0"/>
          <w:numId w:val="6"/>
        </w:numPr>
        <w:jc w:val="both"/>
      </w:pPr>
      <w:r w:rsidRPr="00664760">
        <w:t>Z předložených dokladů musí být zřejmé, jakým způsobem je u nabízených DČOV zajištěno dosažení deklarovaných parametrů čištění, zejména zda jsou tyto parametry dosažitelné samotným základním technologickým řešením DČOV, nebo zda jsou podmíněny použitím přídavné technologie, dávkovacího zařízení, chemického činidla, jiného spotřebního materiálu nebo pravidelného provozního úkonu ze strany uživatele. Pokud je dosažení deklarovaných parametrů podmíněno použitím přídavné technologie nebo jiného technického prvku, musí být tato technologie nebo tento technický prvek součástí nabízeného plnění a musí být zahrnut v ceně.</w:t>
      </w:r>
    </w:p>
    <w:p w14:paraId="0D5C6330" w14:textId="77777777" w:rsidR="00DA036B" w:rsidRPr="004B64AD" w:rsidRDefault="00000000" w:rsidP="00DA036B">
      <w:pPr>
        <w:spacing w:after="120"/>
      </w:pPr>
      <w:r>
        <w:pict w14:anchorId="0AAD6B2C">
          <v:rect id="_x0000_i1029" style="width:470.3pt;height:1.5pt" o:hralign="center" o:hrstd="t" o:hr="t" fillcolor="#a0a0a0" stroked="f"/>
        </w:pict>
      </w:r>
    </w:p>
    <w:p w14:paraId="42F05081" w14:textId="3A1AA37D" w:rsidR="008E3BC9" w:rsidRPr="008E3BC9" w:rsidRDefault="004B15E1" w:rsidP="00A603D3">
      <w:pPr>
        <w:spacing w:after="120"/>
        <w:rPr>
          <w:b/>
          <w:bCs/>
        </w:rPr>
      </w:pPr>
      <w:r>
        <w:rPr>
          <w:b/>
          <w:bCs/>
        </w:rPr>
        <w:t>6</w:t>
      </w:r>
      <w:r w:rsidR="008E3BC9">
        <w:rPr>
          <w:b/>
          <w:bCs/>
        </w:rPr>
        <w:t xml:space="preserve">. </w:t>
      </w:r>
      <w:r w:rsidR="008E3BC9" w:rsidRPr="008E3BC9">
        <w:rPr>
          <w:b/>
          <w:bCs/>
        </w:rPr>
        <w:t>Osazení</w:t>
      </w:r>
    </w:p>
    <w:p w14:paraId="7E0C2CA2" w14:textId="3F33D7F3" w:rsidR="004517F8" w:rsidRDefault="00E96FAD" w:rsidP="008E3BC9">
      <w:pPr>
        <w:numPr>
          <w:ilvl w:val="0"/>
          <w:numId w:val="6"/>
        </w:numPr>
        <w:spacing w:after="120"/>
        <w:jc w:val="both"/>
      </w:pPr>
      <w:r w:rsidRPr="008E3BC9">
        <w:t>Odolnost pro osazení: těleso DČOV musí být konstrukčně vhodné pro osazení v území s výskytem vysoké hladiny podzemní vody, a to při dodržení montážního postupu stanoveného výrobcem. Konstrukce musí odolávat zatížení zeminou i účinkům podzemní vody bez deformace a poruch funkčnosti.</w:t>
      </w:r>
    </w:p>
    <w:p w14:paraId="5DAD0343" w14:textId="031FC322" w:rsidR="00A96DD0" w:rsidRDefault="00A96DD0" w:rsidP="00A96DD0">
      <w:pPr>
        <w:numPr>
          <w:ilvl w:val="0"/>
          <w:numId w:val="6"/>
        </w:numPr>
        <w:spacing w:after="120"/>
        <w:jc w:val="both"/>
      </w:pPr>
      <w:r>
        <w:t xml:space="preserve">Pro účely zpracování nabídky se předpokládá, že hloubka přítoku odpadní vody do jednotlivých DČOV se pohybuje v rozmezí cca 0,4 m až 1,0 m pod terénem. Předpokládané osazení jednotlivých DČOV se pohybuje v rozmezí cca 2,1 m až 2,5 m pod terénem, přičemž tímto údajem je myšlena hloubka dna nádrže. Pro účely ocenění </w:t>
      </w:r>
      <w:r w:rsidR="007A1939">
        <w:t xml:space="preserve">se </w:t>
      </w:r>
      <w:r>
        <w:t>vycház</w:t>
      </w:r>
      <w:r w:rsidR="007A1939">
        <w:t>í</w:t>
      </w:r>
      <w:r>
        <w:t xml:space="preserve"> z předpokladu, že hladina podzemní vody se může nacházet cca 0,5 m pod terénem.</w:t>
      </w:r>
    </w:p>
    <w:p w14:paraId="5162FC61" w14:textId="1E1A72AE" w:rsidR="00A96DD0" w:rsidRDefault="00A96DD0" w:rsidP="00A96DD0">
      <w:pPr>
        <w:numPr>
          <w:ilvl w:val="0"/>
          <w:numId w:val="6"/>
        </w:numPr>
        <w:spacing w:after="120"/>
        <w:jc w:val="both"/>
      </w:pPr>
      <w:r>
        <w:t xml:space="preserve">Nabízené technické řešení DČOV musí být vhodné pro výše uvedené předpokládané podmínky osazení. </w:t>
      </w:r>
      <w:r w:rsidR="00284006">
        <w:t>Cena</w:t>
      </w:r>
      <w:r>
        <w:t xml:space="preserve"> musí zahrnovat dodání DČOV v provedení odpovídajícím těmto podmínkám, a to včetně případných nástavců, prodloužení vstupních částí, kotevních nebo jiných technických prvků dodávaných výrobcem, instalačních sad, technologického příslušenství a dalšího materiálu nezbytného pro instalaci, montáž, připojení, uvedení do provozu a zprovoznění DČOV. </w:t>
      </w:r>
    </w:p>
    <w:p w14:paraId="07B7D34E" w14:textId="53F9FF38" w:rsidR="004E69FB" w:rsidRPr="004E69FB" w:rsidRDefault="004E69FB" w:rsidP="00A96DD0">
      <w:pPr>
        <w:numPr>
          <w:ilvl w:val="0"/>
          <w:numId w:val="6"/>
        </w:numPr>
        <w:spacing w:after="120"/>
        <w:jc w:val="both"/>
      </w:pPr>
      <w:r w:rsidRPr="004E69FB">
        <w:t xml:space="preserve">Součástí plnění </w:t>
      </w:r>
      <w:r w:rsidR="00156A4D">
        <w:t xml:space="preserve">dodavatele </w:t>
      </w:r>
      <w:r w:rsidRPr="004E69FB">
        <w:t xml:space="preserve">nejsou zemní a stavební práce. Zemní a stavební práce zajistí kupující, případně vlastníci jednotlivých nemovitostí, jako součást stavební připravenosti místa </w:t>
      </w:r>
      <w:r w:rsidRPr="004E69FB">
        <w:lastRenderedPageBreak/>
        <w:t xml:space="preserve">plnění. Jedná se zejména o provedení výkopů, případné pažení, odvoz nebo přesun zeminy, zřízení podkladních a betonových konstrukcí, stavební provedení kotvení, obetonování, obsyp, zásyp, hutnění, konečné terénní úpravy a další stavební nebo zemní práce nezbytné pro přípravu místa osazení DČOV v souladu s montážními podmínkami, technickými požadavky a doporučeními výrobce nabízené DČOV. </w:t>
      </w:r>
      <w:r>
        <w:t>Dodavatel je povinen</w:t>
      </w:r>
      <w:r w:rsidRPr="004E69FB">
        <w:t xml:space="preserve"> tyto montážní podmínky, technické požadavky a doporučení výrobce včas předat tak, aby podle nich mohla být stavební připravenost příslušného místa plnění řádně zajištěna.</w:t>
      </w:r>
      <w:r w:rsidR="008A3B1F" w:rsidRPr="008A3B1F">
        <w:t xml:space="preserve"> Pokud prodávající nepředá kupujícímu montážní podmínky, technické požadavky nebo doporučení výrobce včas nebo v potřebném rozsahu, nemůže se dovolávat nedostatečné stavební připravenosti místa plnění v rozsahu, v jakém byla způsobena neposkytnutím těchto podkladů.</w:t>
      </w:r>
    </w:p>
    <w:p w14:paraId="01B5583F" w14:textId="4D560E6D" w:rsidR="00A96DD0" w:rsidRDefault="00A96DD0" w:rsidP="00A96DD0">
      <w:pPr>
        <w:numPr>
          <w:ilvl w:val="0"/>
          <w:numId w:val="6"/>
        </w:numPr>
        <w:spacing w:after="120"/>
        <w:jc w:val="both"/>
      </w:pPr>
      <w:r>
        <w:t>Dodavatel je povinen dodat DČOV a případný další technologický, instalační nebo montážní materiál nezbytný k jejímu osazení, připojení a zprovoznění, pokud takový materiál vyplývá z technického řešení nabízené DČOV, montážních podmínek výrobce nebo z požadavků uvedených v zadávací dokumentaci. Stavební materiál a provedení stavebních konstrukcí v rámci zemních a stavebních prací zajišťuj</w:t>
      </w:r>
      <w:r w:rsidR="001335C0">
        <w:t xml:space="preserve">í </w:t>
      </w:r>
      <w:r>
        <w:t>vlastníci jednotlivých nemovitostí</w:t>
      </w:r>
      <w:r w:rsidR="001335C0">
        <w:t>.</w:t>
      </w:r>
    </w:p>
    <w:p w14:paraId="250716BF" w14:textId="55ADC316" w:rsidR="00A96DD0" w:rsidRDefault="00A96DD0" w:rsidP="00A96DD0">
      <w:pPr>
        <w:numPr>
          <w:ilvl w:val="0"/>
          <w:numId w:val="6"/>
        </w:numPr>
        <w:spacing w:after="120"/>
        <w:jc w:val="both"/>
      </w:pPr>
      <w:r>
        <w:t xml:space="preserve">Dodavatel je povinen </w:t>
      </w:r>
      <w:r w:rsidR="0015461C">
        <w:t xml:space="preserve">v nabídce </w:t>
      </w:r>
      <w:r w:rsidR="000F4923">
        <w:t xml:space="preserve">předat </w:t>
      </w:r>
      <w:r>
        <w:t>montážní podmínky pro osazení nabízen</w:t>
      </w:r>
      <w:r w:rsidR="0015461C">
        <w:t>ých</w:t>
      </w:r>
      <w:r>
        <w:t xml:space="preserve"> DČOV. Tyto montážní podmínky musí vymezit zejména požadavky na výkop, založení, podkladní konstrukci, případné kotvení, obetonování, obsyp, zásyp, opatření proti vztlaku a další opatření nezbytná pro řádné osazení zařízení v prostředí s předpokládanou hladinou podzemní vody.</w:t>
      </w:r>
    </w:p>
    <w:p w14:paraId="1C005729" w14:textId="1546BD08" w:rsidR="00A96DD0" w:rsidRDefault="00A96DD0" w:rsidP="00A96DD0">
      <w:pPr>
        <w:numPr>
          <w:ilvl w:val="0"/>
          <w:numId w:val="6"/>
        </w:numPr>
        <w:spacing w:after="120"/>
        <w:jc w:val="both"/>
      </w:pPr>
      <w:r>
        <w:t xml:space="preserve">Kupující, případně vlastníci jednotlivých nemovitostí, zajistí stavební připravenost místa plnění v souladu </w:t>
      </w:r>
      <w:r w:rsidR="000F4923">
        <w:t>s</w:t>
      </w:r>
      <w:r>
        <w:t xml:space="preserve"> montážními podmínkami předanými dodavatelem. Dodavatel není oprávněn zahájit instalaci konkrétní DČOV, pokud zjevně zjistí, že stavební připravenost místa plnění neodpovídá podmínkám nezbytným pro řádné osazení a zprovoznění DČOV</w:t>
      </w:r>
      <w:r w:rsidR="00232AE7">
        <w:t>,</w:t>
      </w:r>
      <w:r>
        <w:t xml:space="preserve"> v takovém případě je povinen na tuto skutečnost bez zbytečného odkladu upozornit.</w:t>
      </w:r>
    </w:p>
    <w:p w14:paraId="541C8C19" w14:textId="380CF747" w:rsidR="00A96DD0" w:rsidRDefault="00A96DD0" w:rsidP="00A96DD0">
      <w:pPr>
        <w:numPr>
          <w:ilvl w:val="0"/>
          <w:numId w:val="6"/>
        </w:numPr>
        <w:spacing w:after="120"/>
        <w:jc w:val="both"/>
      </w:pPr>
      <w:r>
        <w:t xml:space="preserve">Dodavatel je povinen před </w:t>
      </w:r>
      <w:r w:rsidR="00CE6B0C">
        <w:t>usazením</w:t>
      </w:r>
      <w:r>
        <w:t xml:space="preserve"> konkrétní DČOV ověřit skutečné místní podmínky, zejména hloubku a výškové osazení </w:t>
      </w:r>
      <w:proofErr w:type="spellStart"/>
      <w:r>
        <w:t>nátokového</w:t>
      </w:r>
      <w:proofErr w:type="spellEnd"/>
      <w:r>
        <w:t xml:space="preserve"> potrubí, spádové poměry kanalizačního vedení, úroveň terénu a hladinu podzemní vody, a potvrdit, že zvolené technické řešení odpovídá skutečným podmínkám příslušného místa plnění</w:t>
      </w:r>
      <w:r w:rsidR="00232AE7">
        <w:t>.</w:t>
      </w:r>
    </w:p>
    <w:p w14:paraId="66376A81" w14:textId="47C9FBF5" w:rsidR="00A96DD0" w:rsidRDefault="00A96DD0" w:rsidP="00A96DD0">
      <w:pPr>
        <w:numPr>
          <w:ilvl w:val="0"/>
          <w:numId w:val="6"/>
        </w:numPr>
        <w:spacing w:after="120"/>
        <w:jc w:val="both"/>
      </w:pPr>
      <w:r>
        <w:t xml:space="preserve">Pokud by se při realizaci prokazatelně zjistily podstatně odlišné podmínky oproti předpokladům uvedeným </w:t>
      </w:r>
      <w:r w:rsidR="00CF11DA">
        <w:t>výše</w:t>
      </w:r>
      <w:r>
        <w:t>, zejména odlišná hloubka přítoku nebo odlišná úroveň hladiny podzemní vody a s tím související potřeba jiného technického řešení dodávané DČOV nebo jiných montážních podmínek, bude další postup řešen v souladu se smlouvou a příslušnými právními předpisy.</w:t>
      </w:r>
    </w:p>
    <w:sectPr w:rsidR="00A96D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46B4B"/>
    <w:multiLevelType w:val="multilevel"/>
    <w:tmpl w:val="CD78F2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877C6B"/>
    <w:multiLevelType w:val="multilevel"/>
    <w:tmpl w:val="BC8E4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1C23C4"/>
    <w:multiLevelType w:val="multilevel"/>
    <w:tmpl w:val="7BA62B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AC73E3E"/>
    <w:multiLevelType w:val="multilevel"/>
    <w:tmpl w:val="3C7248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46E7985"/>
    <w:multiLevelType w:val="hybridMultilevel"/>
    <w:tmpl w:val="4BD804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483E41F9"/>
    <w:multiLevelType w:val="multilevel"/>
    <w:tmpl w:val="7B56F5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9895E47"/>
    <w:multiLevelType w:val="multilevel"/>
    <w:tmpl w:val="21CA8D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9ED048F"/>
    <w:multiLevelType w:val="hybridMultilevel"/>
    <w:tmpl w:val="0BD8C9BA"/>
    <w:lvl w:ilvl="0" w:tplc="0AEAFF12">
      <w:start w:val="2"/>
      <w:numFmt w:val="bullet"/>
      <w:lvlText w:val="-"/>
      <w:lvlJc w:val="left"/>
      <w:pPr>
        <w:ind w:left="405" w:hanging="360"/>
      </w:pPr>
      <w:rPr>
        <w:rFonts w:ascii="Calibri" w:eastAsiaTheme="minorHAnsi" w:hAnsi="Calibri" w:cs="Calibri" w:hint="default"/>
      </w:rPr>
    </w:lvl>
    <w:lvl w:ilvl="1" w:tplc="04050003" w:tentative="1">
      <w:start w:val="1"/>
      <w:numFmt w:val="bullet"/>
      <w:lvlText w:val="o"/>
      <w:lvlJc w:val="left"/>
      <w:pPr>
        <w:ind w:left="1125" w:hanging="360"/>
      </w:pPr>
      <w:rPr>
        <w:rFonts w:ascii="Courier New" w:hAnsi="Courier New" w:cs="Courier New" w:hint="default"/>
      </w:rPr>
    </w:lvl>
    <w:lvl w:ilvl="2" w:tplc="04050005" w:tentative="1">
      <w:start w:val="1"/>
      <w:numFmt w:val="bullet"/>
      <w:lvlText w:val=""/>
      <w:lvlJc w:val="left"/>
      <w:pPr>
        <w:ind w:left="1845" w:hanging="360"/>
      </w:pPr>
      <w:rPr>
        <w:rFonts w:ascii="Wingdings" w:hAnsi="Wingdings" w:hint="default"/>
      </w:rPr>
    </w:lvl>
    <w:lvl w:ilvl="3" w:tplc="04050001" w:tentative="1">
      <w:start w:val="1"/>
      <w:numFmt w:val="bullet"/>
      <w:lvlText w:val=""/>
      <w:lvlJc w:val="left"/>
      <w:pPr>
        <w:ind w:left="2565" w:hanging="360"/>
      </w:pPr>
      <w:rPr>
        <w:rFonts w:ascii="Symbol" w:hAnsi="Symbol" w:hint="default"/>
      </w:rPr>
    </w:lvl>
    <w:lvl w:ilvl="4" w:tplc="04050003" w:tentative="1">
      <w:start w:val="1"/>
      <w:numFmt w:val="bullet"/>
      <w:lvlText w:val="o"/>
      <w:lvlJc w:val="left"/>
      <w:pPr>
        <w:ind w:left="3285" w:hanging="360"/>
      </w:pPr>
      <w:rPr>
        <w:rFonts w:ascii="Courier New" w:hAnsi="Courier New" w:cs="Courier New" w:hint="default"/>
      </w:rPr>
    </w:lvl>
    <w:lvl w:ilvl="5" w:tplc="04050005" w:tentative="1">
      <w:start w:val="1"/>
      <w:numFmt w:val="bullet"/>
      <w:lvlText w:val=""/>
      <w:lvlJc w:val="left"/>
      <w:pPr>
        <w:ind w:left="4005" w:hanging="360"/>
      </w:pPr>
      <w:rPr>
        <w:rFonts w:ascii="Wingdings" w:hAnsi="Wingdings" w:hint="default"/>
      </w:rPr>
    </w:lvl>
    <w:lvl w:ilvl="6" w:tplc="04050001" w:tentative="1">
      <w:start w:val="1"/>
      <w:numFmt w:val="bullet"/>
      <w:lvlText w:val=""/>
      <w:lvlJc w:val="left"/>
      <w:pPr>
        <w:ind w:left="4725" w:hanging="360"/>
      </w:pPr>
      <w:rPr>
        <w:rFonts w:ascii="Symbol" w:hAnsi="Symbol" w:hint="default"/>
      </w:rPr>
    </w:lvl>
    <w:lvl w:ilvl="7" w:tplc="04050003" w:tentative="1">
      <w:start w:val="1"/>
      <w:numFmt w:val="bullet"/>
      <w:lvlText w:val="o"/>
      <w:lvlJc w:val="left"/>
      <w:pPr>
        <w:ind w:left="5445" w:hanging="360"/>
      </w:pPr>
      <w:rPr>
        <w:rFonts w:ascii="Courier New" w:hAnsi="Courier New" w:cs="Courier New" w:hint="default"/>
      </w:rPr>
    </w:lvl>
    <w:lvl w:ilvl="8" w:tplc="04050005" w:tentative="1">
      <w:start w:val="1"/>
      <w:numFmt w:val="bullet"/>
      <w:lvlText w:val=""/>
      <w:lvlJc w:val="left"/>
      <w:pPr>
        <w:ind w:left="6165" w:hanging="360"/>
      </w:pPr>
      <w:rPr>
        <w:rFonts w:ascii="Wingdings" w:hAnsi="Wingdings" w:hint="default"/>
      </w:rPr>
    </w:lvl>
  </w:abstractNum>
  <w:num w:numId="1" w16cid:durableId="1369334976">
    <w:abstractNumId w:val="5"/>
  </w:num>
  <w:num w:numId="2" w16cid:durableId="1766609665">
    <w:abstractNumId w:val="2"/>
  </w:num>
  <w:num w:numId="3" w16cid:durableId="888763783">
    <w:abstractNumId w:val="6"/>
  </w:num>
  <w:num w:numId="4" w16cid:durableId="727724392">
    <w:abstractNumId w:val="3"/>
  </w:num>
  <w:num w:numId="5" w16cid:durableId="1645619758">
    <w:abstractNumId w:val="1"/>
  </w:num>
  <w:num w:numId="6" w16cid:durableId="490603022">
    <w:abstractNumId w:val="0"/>
  </w:num>
  <w:num w:numId="7" w16cid:durableId="502597335">
    <w:abstractNumId w:val="2"/>
  </w:num>
  <w:num w:numId="8" w16cid:durableId="511603933">
    <w:abstractNumId w:val="7"/>
  </w:num>
  <w:num w:numId="9" w16cid:durableId="16359885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4AD"/>
    <w:rsid w:val="00003362"/>
    <w:rsid w:val="000F4923"/>
    <w:rsid w:val="000F7E9E"/>
    <w:rsid w:val="001335C0"/>
    <w:rsid w:val="0015461C"/>
    <w:rsid w:val="00156A4D"/>
    <w:rsid w:val="00167908"/>
    <w:rsid w:val="00183FAA"/>
    <w:rsid w:val="00232AE7"/>
    <w:rsid w:val="00284006"/>
    <w:rsid w:val="002F033E"/>
    <w:rsid w:val="002F0742"/>
    <w:rsid w:val="002F20F8"/>
    <w:rsid w:val="00325DD8"/>
    <w:rsid w:val="00406D67"/>
    <w:rsid w:val="004517F8"/>
    <w:rsid w:val="004B15E1"/>
    <w:rsid w:val="004B64AD"/>
    <w:rsid w:val="004E69FB"/>
    <w:rsid w:val="0050541C"/>
    <w:rsid w:val="00506EF6"/>
    <w:rsid w:val="00567B45"/>
    <w:rsid w:val="0059591B"/>
    <w:rsid w:val="00605C8A"/>
    <w:rsid w:val="0065439F"/>
    <w:rsid w:val="00664760"/>
    <w:rsid w:val="006C64E4"/>
    <w:rsid w:val="006F5090"/>
    <w:rsid w:val="00737F75"/>
    <w:rsid w:val="0075663D"/>
    <w:rsid w:val="007A1939"/>
    <w:rsid w:val="007B28F8"/>
    <w:rsid w:val="00806549"/>
    <w:rsid w:val="00812A12"/>
    <w:rsid w:val="00844B99"/>
    <w:rsid w:val="00861238"/>
    <w:rsid w:val="008A26C9"/>
    <w:rsid w:val="008A3B1F"/>
    <w:rsid w:val="008C668C"/>
    <w:rsid w:val="008E3BC9"/>
    <w:rsid w:val="008F384E"/>
    <w:rsid w:val="009410A0"/>
    <w:rsid w:val="00943349"/>
    <w:rsid w:val="00980BFC"/>
    <w:rsid w:val="009A5B73"/>
    <w:rsid w:val="009C6796"/>
    <w:rsid w:val="00A603D3"/>
    <w:rsid w:val="00A96DD0"/>
    <w:rsid w:val="00AB309B"/>
    <w:rsid w:val="00AF4E23"/>
    <w:rsid w:val="00B33A9A"/>
    <w:rsid w:val="00B33E30"/>
    <w:rsid w:val="00B41C2B"/>
    <w:rsid w:val="00BF315D"/>
    <w:rsid w:val="00C05025"/>
    <w:rsid w:val="00C16405"/>
    <w:rsid w:val="00C6288D"/>
    <w:rsid w:val="00CA2097"/>
    <w:rsid w:val="00CE6B0C"/>
    <w:rsid w:val="00CF11DA"/>
    <w:rsid w:val="00D0479E"/>
    <w:rsid w:val="00D24CB6"/>
    <w:rsid w:val="00D270E5"/>
    <w:rsid w:val="00D4428F"/>
    <w:rsid w:val="00D61205"/>
    <w:rsid w:val="00D66B80"/>
    <w:rsid w:val="00D87E51"/>
    <w:rsid w:val="00DA036B"/>
    <w:rsid w:val="00DA0480"/>
    <w:rsid w:val="00DB4F98"/>
    <w:rsid w:val="00E45600"/>
    <w:rsid w:val="00E96FAD"/>
    <w:rsid w:val="00EB3037"/>
    <w:rsid w:val="00F13A90"/>
    <w:rsid w:val="00F35E06"/>
    <w:rsid w:val="00F403E2"/>
    <w:rsid w:val="00FD139F"/>
    <w:rsid w:val="00FF764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C6324"/>
  <w15:chartTrackingRefBased/>
  <w15:docId w15:val="{554CC917-D29E-4434-B245-F224E21E3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B309B"/>
  </w:style>
  <w:style w:type="paragraph" w:styleId="Nadpis1">
    <w:name w:val="heading 1"/>
    <w:basedOn w:val="Normln"/>
    <w:next w:val="Normln"/>
    <w:link w:val="Nadpis1Char"/>
    <w:uiPriority w:val="9"/>
    <w:qFormat/>
    <w:rsid w:val="004B64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
    <w:next w:val="Normln"/>
    <w:link w:val="Nadpis2Char"/>
    <w:uiPriority w:val="9"/>
    <w:semiHidden/>
    <w:unhideWhenUsed/>
    <w:qFormat/>
    <w:rsid w:val="004B64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
    <w:next w:val="Normln"/>
    <w:link w:val="Nadpis3Char"/>
    <w:uiPriority w:val="9"/>
    <w:semiHidden/>
    <w:unhideWhenUsed/>
    <w:qFormat/>
    <w:rsid w:val="004B64AD"/>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
    <w:next w:val="Normln"/>
    <w:link w:val="Nadpis4Char"/>
    <w:uiPriority w:val="9"/>
    <w:semiHidden/>
    <w:unhideWhenUsed/>
    <w:qFormat/>
    <w:rsid w:val="004B64AD"/>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
    <w:next w:val="Normln"/>
    <w:link w:val="Nadpis5Char"/>
    <w:uiPriority w:val="9"/>
    <w:semiHidden/>
    <w:unhideWhenUsed/>
    <w:qFormat/>
    <w:rsid w:val="004B64AD"/>
    <w:pPr>
      <w:keepNext/>
      <w:keepLines/>
      <w:spacing w:before="80" w:after="40"/>
      <w:outlineLvl w:val="4"/>
    </w:pPr>
    <w:rPr>
      <w:rFonts w:eastAsiaTheme="majorEastAsia" w:cstheme="majorBidi"/>
      <w:color w:val="2F5496" w:themeColor="accent1" w:themeShade="BF"/>
    </w:rPr>
  </w:style>
  <w:style w:type="paragraph" w:styleId="Nadpis6">
    <w:name w:val="heading 6"/>
    <w:basedOn w:val="Normln"/>
    <w:next w:val="Normln"/>
    <w:link w:val="Nadpis6Char"/>
    <w:uiPriority w:val="9"/>
    <w:semiHidden/>
    <w:unhideWhenUsed/>
    <w:qFormat/>
    <w:rsid w:val="004B64AD"/>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4B64AD"/>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4B64AD"/>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4B64AD"/>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B64AD"/>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Standardnpsmoodstavce"/>
    <w:link w:val="Nadpis2"/>
    <w:uiPriority w:val="9"/>
    <w:semiHidden/>
    <w:rsid w:val="004B64AD"/>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Standardnpsmoodstavce"/>
    <w:link w:val="Nadpis3"/>
    <w:uiPriority w:val="9"/>
    <w:semiHidden/>
    <w:rsid w:val="004B64AD"/>
    <w:rPr>
      <w:rFonts w:eastAsiaTheme="majorEastAsia" w:cstheme="majorBidi"/>
      <w:color w:val="2F5496" w:themeColor="accent1" w:themeShade="BF"/>
      <w:sz w:val="28"/>
      <w:szCs w:val="28"/>
    </w:rPr>
  </w:style>
  <w:style w:type="character" w:customStyle="1" w:styleId="Nadpis4Char">
    <w:name w:val="Nadpis 4 Char"/>
    <w:basedOn w:val="Standardnpsmoodstavce"/>
    <w:link w:val="Nadpis4"/>
    <w:uiPriority w:val="9"/>
    <w:semiHidden/>
    <w:rsid w:val="004B64AD"/>
    <w:rPr>
      <w:rFonts w:eastAsiaTheme="majorEastAsia" w:cstheme="majorBidi"/>
      <w:i/>
      <w:iCs/>
      <w:color w:val="2F5496" w:themeColor="accent1" w:themeShade="BF"/>
    </w:rPr>
  </w:style>
  <w:style w:type="character" w:customStyle="1" w:styleId="Nadpis5Char">
    <w:name w:val="Nadpis 5 Char"/>
    <w:basedOn w:val="Standardnpsmoodstavce"/>
    <w:link w:val="Nadpis5"/>
    <w:uiPriority w:val="9"/>
    <w:semiHidden/>
    <w:rsid w:val="004B64AD"/>
    <w:rPr>
      <w:rFonts w:eastAsiaTheme="majorEastAsia" w:cstheme="majorBidi"/>
      <w:color w:val="2F5496" w:themeColor="accent1" w:themeShade="BF"/>
    </w:rPr>
  </w:style>
  <w:style w:type="character" w:customStyle="1" w:styleId="Nadpis6Char">
    <w:name w:val="Nadpis 6 Char"/>
    <w:basedOn w:val="Standardnpsmoodstavce"/>
    <w:link w:val="Nadpis6"/>
    <w:uiPriority w:val="9"/>
    <w:semiHidden/>
    <w:rsid w:val="004B64AD"/>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4B64AD"/>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4B64AD"/>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4B64AD"/>
    <w:rPr>
      <w:rFonts w:eastAsiaTheme="majorEastAsia" w:cstheme="majorBidi"/>
      <w:color w:val="272727" w:themeColor="text1" w:themeTint="D8"/>
    </w:rPr>
  </w:style>
  <w:style w:type="paragraph" w:styleId="Nzev">
    <w:name w:val="Title"/>
    <w:basedOn w:val="Normln"/>
    <w:next w:val="Normln"/>
    <w:link w:val="NzevChar"/>
    <w:uiPriority w:val="10"/>
    <w:qFormat/>
    <w:rsid w:val="004B64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4B64A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4B64AD"/>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4B64AD"/>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4B64AD"/>
    <w:pPr>
      <w:spacing w:before="160"/>
      <w:jc w:val="center"/>
    </w:pPr>
    <w:rPr>
      <w:i/>
      <w:iCs/>
      <w:color w:val="404040" w:themeColor="text1" w:themeTint="BF"/>
    </w:rPr>
  </w:style>
  <w:style w:type="character" w:customStyle="1" w:styleId="CittChar">
    <w:name w:val="Citát Char"/>
    <w:basedOn w:val="Standardnpsmoodstavce"/>
    <w:link w:val="Citt"/>
    <w:uiPriority w:val="29"/>
    <w:rsid w:val="004B64AD"/>
    <w:rPr>
      <w:i/>
      <w:iCs/>
      <w:color w:val="404040" w:themeColor="text1" w:themeTint="BF"/>
    </w:rPr>
  </w:style>
  <w:style w:type="paragraph" w:styleId="Odstavecseseznamem">
    <w:name w:val="List Paragraph"/>
    <w:basedOn w:val="Normln"/>
    <w:uiPriority w:val="34"/>
    <w:qFormat/>
    <w:rsid w:val="004B64AD"/>
    <w:pPr>
      <w:ind w:left="720"/>
      <w:contextualSpacing/>
    </w:pPr>
  </w:style>
  <w:style w:type="character" w:styleId="Zdraznnintenzivn">
    <w:name w:val="Intense Emphasis"/>
    <w:basedOn w:val="Standardnpsmoodstavce"/>
    <w:uiPriority w:val="21"/>
    <w:qFormat/>
    <w:rsid w:val="004B64AD"/>
    <w:rPr>
      <w:i/>
      <w:iCs/>
      <w:color w:val="2F5496" w:themeColor="accent1" w:themeShade="BF"/>
    </w:rPr>
  </w:style>
  <w:style w:type="paragraph" w:styleId="Vrazncitt">
    <w:name w:val="Intense Quote"/>
    <w:basedOn w:val="Normln"/>
    <w:next w:val="Normln"/>
    <w:link w:val="VrazncittChar"/>
    <w:uiPriority w:val="30"/>
    <w:qFormat/>
    <w:rsid w:val="004B64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VrazncittChar">
    <w:name w:val="Výrazný citát Char"/>
    <w:basedOn w:val="Standardnpsmoodstavce"/>
    <w:link w:val="Vrazncitt"/>
    <w:uiPriority w:val="30"/>
    <w:rsid w:val="004B64AD"/>
    <w:rPr>
      <w:i/>
      <w:iCs/>
      <w:color w:val="2F5496" w:themeColor="accent1" w:themeShade="BF"/>
    </w:rPr>
  </w:style>
  <w:style w:type="character" w:styleId="Odkazintenzivn">
    <w:name w:val="Intense Reference"/>
    <w:basedOn w:val="Standardnpsmoodstavce"/>
    <w:uiPriority w:val="32"/>
    <w:qFormat/>
    <w:rsid w:val="004B64AD"/>
    <w:rPr>
      <w:b/>
      <w:bCs/>
      <w:smallCaps/>
      <w:color w:val="2F5496" w:themeColor="accent1" w:themeShade="BF"/>
      <w:spacing w:val="5"/>
    </w:rPr>
  </w:style>
  <w:style w:type="character" w:styleId="Odkaznakoment">
    <w:name w:val="annotation reference"/>
    <w:basedOn w:val="Standardnpsmoodstavce"/>
    <w:uiPriority w:val="99"/>
    <w:semiHidden/>
    <w:unhideWhenUsed/>
    <w:rsid w:val="009410A0"/>
    <w:rPr>
      <w:sz w:val="16"/>
      <w:szCs w:val="16"/>
    </w:rPr>
  </w:style>
  <w:style w:type="paragraph" w:styleId="Textkomente">
    <w:name w:val="annotation text"/>
    <w:basedOn w:val="Normln"/>
    <w:link w:val="TextkomenteChar"/>
    <w:uiPriority w:val="99"/>
    <w:unhideWhenUsed/>
    <w:rsid w:val="009410A0"/>
    <w:pPr>
      <w:spacing w:line="240" w:lineRule="auto"/>
    </w:pPr>
    <w:rPr>
      <w:sz w:val="20"/>
      <w:szCs w:val="20"/>
    </w:rPr>
  </w:style>
  <w:style w:type="character" w:customStyle="1" w:styleId="TextkomenteChar">
    <w:name w:val="Text komentáře Char"/>
    <w:basedOn w:val="Standardnpsmoodstavce"/>
    <w:link w:val="Textkomente"/>
    <w:uiPriority w:val="99"/>
    <w:rsid w:val="009410A0"/>
    <w:rPr>
      <w:sz w:val="20"/>
      <w:szCs w:val="20"/>
    </w:rPr>
  </w:style>
  <w:style w:type="paragraph" w:styleId="Pedmtkomente">
    <w:name w:val="annotation subject"/>
    <w:basedOn w:val="Textkomente"/>
    <w:next w:val="Textkomente"/>
    <w:link w:val="PedmtkomenteChar"/>
    <w:uiPriority w:val="99"/>
    <w:semiHidden/>
    <w:unhideWhenUsed/>
    <w:rsid w:val="009410A0"/>
    <w:rPr>
      <w:b/>
      <w:bCs/>
    </w:rPr>
  </w:style>
  <w:style w:type="character" w:customStyle="1" w:styleId="PedmtkomenteChar">
    <w:name w:val="Předmět komentáře Char"/>
    <w:basedOn w:val="TextkomenteChar"/>
    <w:link w:val="Pedmtkomente"/>
    <w:uiPriority w:val="99"/>
    <w:semiHidden/>
    <w:rsid w:val="009410A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1136</Words>
  <Characters>6709</Characters>
  <Application>Microsoft Office Word</Application>
  <DocSecurity>0</DocSecurity>
  <Lines>55</Lines>
  <Paragraphs>15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Martinátová Jarmila, Mgr.</dc:creator>
  <cp:keywords/>
  <dc:description/>
  <cp:lastModifiedBy>Vrbka Boris</cp:lastModifiedBy>
  <cp:revision>39</cp:revision>
  <cp:lastPrinted>2026-04-20T11:41:00Z</cp:lastPrinted>
  <dcterms:created xsi:type="dcterms:W3CDTF">2026-04-20T11:48:00Z</dcterms:created>
  <dcterms:modified xsi:type="dcterms:W3CDTF">2026-06-08T09:31:00Z</dcterms:modified>
</cp:coreProperties>
</file>